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5CC" w:rsidRDefault="00BC6F6C" w:rsidP="00BC6F6C">
      <w:pPr>
        <w:pStyle w:val="NoSpacing"/>
        <w:jc w:val="center"/>
        <w:rPr>
          <w:rFonts w:ascii="Arial" w:hAnsi="Arial" w:cs="Arial"/>
          <w:b/>
          <w:sz w:val="24"/>
          <w:szCs w:val="24"/>
        </w:rPr>
      </w:pPr>
      <w:r>
        <w:rPr>
          <w:rFonts w:ascii="Arial" w:hAnsi="Arial" w:cs="Arial"/>
          <w:b/>
          <w:sz w:val="24"/>
          <w:szCs w:val="24"/>
        </w:rPr>
        <w:t xml:space="preserve">ALASKA MUNICIPAL LEAGUE </w:t>
      </w:r>
    </w:p>
    <w:p w:rsidR="00BC6F6C" w:rsidRDefault="00BC6F6C" w:rsidP="00BC6F6C">
      <w:pPr>
        <w:pStyle w:val="NoSpacing"/>
        <w:jc w:val="center"/>
        <w:rPr>
          <w:rFonts w:ascii="Arial" w:hAnsi="Arial" w:cs="Arial"/>
          <w:b/>
          <w:sz w:val="24"/>
          <w:szCs w:val="24"/>
        </w:rPr>
      </w:pPr>
      <w:r>
        <w:rPr>
          <w:rFonts w:ascii="Arial" w:hAnsi="Arial" w:cs="Arial"/>
          <w:b/>
          <w:sz w:val="24"/>
          <w:szCs w:val="24"/>
        </w:rPr>
        <w:t>2014</w:t>
      </w:r>
    </w:p>
    <w:p w:rsidR="00BC6F6C" w:rsidRDefault="00BC6F6C" w:rsidP="00BC6F6C">
      <w:pPr>
        <w:pStyle w:val="NoSpacing"/>
        <w:jc w:val="center"/>
        <w:rPr>
          <w:rFonts w:ascii="Arial" w:hAnsi="Arial" w:cs="Arial"/>
          <w:b/>
          <w:sz w:val="24"/>
          <w:szCs w:val="24"/>
        </w:rPr>
      </w:pPr>
    </w:p>
    <w:p w:rsidR="00BC6F6C" w:rsidRDefault="00BC6F6C" w:rsidP="00BC6F6C">
      <w:pPr>
        <w:pStyle w:val="NoSpacing"/>
        <w:jc w:val="center"/>
        <w:rPr>
          <w:rFonts w:ascii="Arial" w:hAnsi="Arial" w:cs="Arial"/>
          <w:b/>
          <w:sz w:val="24"/>
          <w:szCs w:val="24"/>
        </w:rPr>
      </w:pPr>
      <w:r>
        <w:rPr>
          <w:rFonts w:ascii="Arial" w:hAnsi="Arial" w:cs="Arial"/>
          <w:b/>
          <w:sz w:val="24"/>
          <w:szCs w:val="24"/>
        </w:rPr>
        <w:t>PERS/CASH INFUSION TALKING POINTS</w:t>
      </w:r>
    </w:p>
    <w:p w:rsidR="00BC6F6C" w:rsidRDefault="00BC6F6C" w:rsidP="00BC6F6C">
      <w:pPr>
        <w:pStyle w:val="NoSpacing"/>
        <w:jc w:val="center"/>
        <w:rPr>
          <w:rFonts w:ascii="Arial" w:hAnsi="Arial" w:cs="Arial"/>
          <w:b/>
          <w:sz w:val="24"/>
          <w:szCs w:val="24"/>
        </w:rPr>
      </w:pPr>
    </w:p>
    <w:p w:rsidR="00BC6F6C" w:rsidRDefault="00BC6F6C" w:rsidP="00BC6F6C">
      <w:pPr>
        <w:pStyle w:val="NoSpacing"/>
        <w:jc w:val="both"/>
        <w:rPr>
          <w:rFonts w:ascii="Arial" w:hAnsi="Arial" w:cs="Arial"/>
          <w:sz w:val="24"/>
          <w:szCs w:val="24"/>
        </w:rPr>
      </w:pPr>
      <w:r>
        <w:rPr>
          <w:rFonts w:ascii="Arial" w:hAnsi="Arial" w:cs="Arial"/>
          <w:sz w:val="24"/>
          <w:szCs w:val="24"/>
        </w:rPr>
        <w:t>The Alaska Municipal League strongly supports a $3 billion deposit into the Retirement Trust Funds from the Constitutional Budget Reserve, as laid out in the Governor’s FY 2015 budget.</w:t>
      </w:r>
    </w:p>
    <w:p w:rsidR="00BC6F6C" w:rsidRDefault="00BC6F6C" w:rsidP="00BC6F6C">
      <w:pPr>
        <w:pStyle w:val="NoSpacing"/>
        <w:jc w:val="both"/>
        <w:rPr>
          <w:rFonts w:ascii="Arial" w:hAnsi="Arial" w:cs="Arial"/>
          <w:sz w:val="24"/>
          <w:szCs w:val="24"/>
        </w:rPr>
      </w:pPr>
    </w:p>
    <w:p w:rsidR="00BC6F6C" w:rsidRPr="00FD59B3" w:rsidRDefault="00BC6F6C" w:rsidP="00FD59B3">
      <w:pPr>
        <w:pStyle w:val="NoSpacing"/>
        <w:numPr>
          <w:ilvl w:val="0"/>
          <w:numId w:val="1"/>
        </w:numPr>
        <w:jc w:val="both"/>
        <w:rPr>
          <w:rFonts w:ascii="Arial" w:hAnsi="Arial" w:cs="Arial"/>
          <w:sz w:val="24"/>
          <w:szCs w:val="24"/>
        </w:rPr>
      </w:pPr>
      <w:r>
        <w:rPr>
          <w:rFonts w:ascii="Arial" w:hAnsi="Arial" w:cs="Arial"/>
          <w:sz w:val="24"/>
          <w:szCs w:val="24"/>
        </w:rPr>
        <w:t>The combined unfunded liability of Alaska’s Public Employee’s Retirement System (PERS) and the Teacher’s Retirement System (TRS) is $11.8 billion as of June 30, 2012.</w:t>
      </w:r>
    </w:p>
    <w:p w:rsidR="00C03794" w:rsidRDefault="00C03794" w:rsidP="002D5942">
      <w:pPr>
        <w:pStyle w:val="NoSpacing"/>
        <w:numPr>
          <w:ilvl w:val="0"/>
          <w:numId w:val="1"/>
        </w:numPr>
        <w:jc w:val="both"/>
        <w:rPr>
          <w:rFonts w:ascii="Arial" w:hAnsi="Arial" w:cs="Arial"/>
          <w:sz w:val="24"/>
          <w:szCs w:val="24"/>
        </w:rPr>
      </w:pPr>
      <w:r>
        <w:rPr>
          <w:rFonts w:ascii="Arial" w:hAnsi="Arial" w:cs="Arial"/>
          <w:sz w:val="24"/>
          <w:szCs w:val="24"/>
        </w:rPr>
        <w:t xml:space="preserve">Sixty-two percent (62%) of the annual State Assistance is directly for the State’s own unfunded liability </w:t>
      </w:r>
    </w:p>
    <w:p w:rsidR="00C03794" w:rsidRDefault="00C03794" w:rsidP="002D5942">
      <w:pPr>
        <w:pStyle w:val="NoSpacing"/>
        <w:numPr>
          <w:ilvl w:val="0"/>
          <w:numId w:val="1"/>
        </w:numPr>
        <w:jc w:val="both"/>
        <w:rPr>
          <w:rFonts w:ascii="Arial" w:hAnsi="Arial" w:cs="Arial"/>
          <w:sz w:val="24"/>
          <w:szCs w:val="24"/>
        </w:rPr>
      </w:pPr>
      <w:r>
        <w:rPr>
          <w:rFonts w:ascii="Arial" w:hAnsi="Arial" w:cs="Arial"/>
          <w:sz w:val="24"/>
          <w:szCs w:val="24"/>
        </w:rPr>
        <w:t>Only 38% of annual State Assistance is for municipalities.</w:t>
      </w:r>
    </w:p>
    <w:p w:rsidR="00261C19" w:rsidRPr="00261C19" w:rsidRDefault="00261C19" w:rsidP="00261C19">
      <w:pPr>
        <w:pStyle w:val="NoSpacing"/>
        <w:numPr>
          <w:ilvl w:val="0"/>
          <w:numId w:val="1"/>
        </w:numPr>
        <w:jc w:val="both"/>
        <w:rPr>
          <w:rFonts w:ascii="Arial" w:hAnsi="Arial" w:cs="Arial"/>
          <w:sz w:val="24"/>
          <w:szCs w:val="24"/>
        </w:rPr>
      </w:pPr>
      <w:r>
        <w:rPr>
          <w:rFonts w:ascii="Arial" w:hAnsi="Arial" w:cs="Arial"/>
          <w:sz w:val="24"/>
          <w:szCs w:val="24"/>
        </w:rPr>
        <w:t>The State’s unfunded pension liability is one of Alaska’s biggest budget drivers, as annual State Assistance payments are expected to exceed $1 billion per year by 2016, if some sort of cash infusion does not occur directly into the retirement trust funds.</w:t>
      </w:r>
    </w:p>
    <w:p w:rsidR="00EC5B6F" w:rsidRPr="002D5942" w:rsidRDefault="00EC5B6F" w:rsidP="002D5942">
      <w:pPr>
        <w:pStyle w:val="NoSpacing"/>
        <w:numPr>
          <w:ilvl w:val="0"/>
          <w:numId w:val="1"/>
        </w:numPr>
        <w:jc w:val="both"/>
        <w:rPr>
          <w:rFonts w:ascii="Arial" w:hAnsi="Arial" w:cs="Arial"/>
          <w:sz w:val="24"/>
          <w:szCs w:val="24"/>
        </w:rPr>
      </w:pPr>
      <w:r>
        <w:rPr>
          <w:rFonts w:ascii="Arial" w:hAnsi="Arial" w:cs="Arial"/>
          <w:sz w:val="24"/>
          <w:szCs w:val="24"/>
        </w:rPr>
        <w:t>Caps annual State Assistance payments at $500 million per year.</w:t>
      </w:r>
    </w:p>
    <w:p w:rsidR="002D5942" w:rsidRPr="00C32DAE" w:rsidRDefault="002D5942" w:rsidP="00C32DAE">
      <w:pPr>
        <w:pStyle w:val="NoSpacing"/>
        <w:numPr>
          <w:ilvl w:val="0"/>
          <w:numId w:val="2"/>
        </w:numPr>
        <w:jc w:val="both"/>
        <w:rPr>
          <w:rFonts w:ascii="Arial" w:hAnsi="Arial" w:cs="Arial"/>
          <w:sz w:val="24"/>
          <w:szCs w:val="24"/>
        </w:rPr>
      </w:pPr>
      <w:r>
        <w:rPr>
          <w:rFonts w:ascii="Arial" w:hAnsi="Arial" w:cs="Arial"/>
          <w:sz w:val="24"/>
          <w:szCs w:val="24"/>
        </w:rPr>
        <w:t>Predictable, sustainable, affordable annual payments for State and municipalities.</w:t>
      </w:r>
    </w:p>
    <w:p w:rsidR="002D5942" w:rsidRPr="00EC5B6F" w:rsidRDefault="002D5942" w:rsidP="00EC5B6F">
      <w:pPr>
        <w:pStyle w:val="NoSpacing"/>
        <w:numPr>
          <w:ilvl w:val="0"/>
          <w:numId w:val="2"/>
        </w:numPr>
        <w:jc w:val="both"/>
        <w:rPr>
          <w:rFonts w:ascii="Arial" w:hAnsi="Arial" w:cs="Arial"/>
          <w:sz w:val="24"/>
          <w:szCs w:val="24"/>
        </w:rPr>
      </w:pPr>
      <w:r>
        <w:rPr>
          <w:rFonts w:ascii="Arial" w:hAnsi="Arial" w:cs="Arial"/>
          <w:sz w:val="24"/>
          <w:szCs w:val="24"/>
        </w:rPr>
        <w:t>Increases funded status of PERS and TRS by 10% immediately.</w:t>
      </w:r>
    </w:p>
    <w:p w:rsidR="002D5942" w:rsidRDefault="002D5942" w:rsidP="00287A94">
      <w:pPr>
        <w:pStyle w:val="NoSpacing"/>
        <w:numPr>
          <w:ilvl w:val="0"/>
          <w:numId w:val="2"/>
        </w:numPr>
        <w:jc w:val="both"/>
        <w:rPr>
          <w:rFonts w:ascii="Arial" w:hAnsi="Arial" w:cs="Arial"/>
          <w:sz w:val="24"/>
          <w:szCs w:val="24"/>
        </w:rPr>
      </w:pPr>
      <w:r>
        <w:rPr>
          <w:rFonts w:ascii="Arial" w:hAnsi="Arial" w:cs="Arial"/>
          <w:sz w:val="24"/>
          <w:szCs w:val="24"/>
        </w:rPr>
        <w:t>Allows future interest earnings to offset future contribution requirements.</w:t>
      </w:r>
    </w:p>
    <w:p w:rsidR="002D5942" w:rsidRDefault="002D5942" w:rsidP="00287A94">
      <w:pPr>
        <w:pStyle w:val="NoSpacing"/>
        <w:numPr>
          <w:ilvl w:val="0"/>
          <w:numId w:val="2"/>
        </w:numPr>
        <w:jc w:val="both"/>
        <w:rPr>
          <w:rFonts w:ascii="Arial" w:hAnsi="Arial" w:cs="Arial"/>
          <w:sz w:val="24"/>
          <w:szCs w:val="24"/>
        </w:rPr>
      </w:pPr>
      <w:r>
        <w:rPr>
          <w:rFonts w:ascii="Arial" w:hAnsi="Arial" w:cs="Arial"/>
          <w:sz w:val="24"/>
          <w:szCs w:val="24"/>
        </w:rPr>
        <w:t>Reduces</w:t>
      </w:r>
      <w:r w:rsidR="003E38F8">
        <w:rPr>
          <w:rFonts w:ascii="Arial" w:hAnsi="Arial" w:cs="Arial"/>
          <w:sz w:val="24"/>
          <w:szCs w:val="24"/>
        </w:rPr>
        <w:t xml:space="preserve"> pressure on </w:t>
      </w:r>
      <w:r>
        <w:rPr>
          <w:rFonts w:ascii="Arial" w:hAnsi="Arial" w:cs="Arial"/>
          <w:sz w:val="24"/>
          <w:szCs w:val="24"/>
        </w:rPr>
        <w:t>local government budgets</w:t>
      </w:r>
      <w:r w:rsidR="00DE720C">
        <w:rPr>
          <w:rFonts w:ascii="Arial" w:hAnsi="Arial" w:cs="Arial"/>
          <w:sz w:val="24"/>
          <w:szCs w:val="24"/>
        </w:rPr>
        <w:t xml:space="preserve"> by introducing stability</w:t>
      </w:r>
      <w:r>
        <w:rPr>
          <w:rFonts w:ascii="Arial" w:hAnsi="Arial" w:cs="Arial"/>
          <w:sz w:val="24"/>
          <w:szCs w:val="24"/>
        </w:rPr>
        <w:t>.</w:t>
      </w:r>
    </w:p>
    <w:p w:rsidR="002D5942" w:rsidRDefault="002D5942" w:rsidP="00287A94">
      <w:pPr>
        <w:pStyle w:val="NoSpacing"/>
        <w:numPr>
          <w:ilvl w:val="0"/>
          <w:numId w:val="2"/>
        </w:numPr>
        <w:jc w:val="both"/>
        <w:rPr>
          <w:rFonts w:ascii="Arial" w:hAnsi="Arial" w:cs="Arial"/>
          <w:sz w:val="24"/>
          <w:szCs w:val="24"/>
        </w:rPr>
      </w:pPr>
      <w:r>
        <w:rPr>
          <w:rFonts w:ascii="Arial" w:hAnsi="Arial" w:cs="Arial"/>
          <w:sz w:val="24"/>
          <w:szCs w:val="24"/>
        </w:rPr>
        <w:t>Assists Retirement Trust Funds with liquidity, by ensuring continued State Assistance.</w:t>
      </w:r>
    </w:p>
    <w:p w:rsidR="002D5942" w:rsidRDefault="00C32DAE" w:rsidP="00287A94">
      <w:pPr>
        <w:pStyle w:val="NoSpacing"/>
        <w:numPr>
          <w:ilvl w:val="0"/>
          <w:numId w:val="2"/>
        </w:numPr>
        <w:jc w:val="both"/>
        <w:rPr>
          <w:rFonts w:ascii="Arial" w:hAnsi="Arial" w:cs="Arial"/>
          <w:sz w:val="24"/>
          <w:szCs w:val="24"/>
        </w:rPr>
      </w:pPr>
      <w:r>
        <w:rPr>
          <w:rFonts w:ascii="Arial" w:hAnsi="Arial" w:cs="Arial"/>
          <w:sz w:val="24"/>
          <w:szCs w:val="24"/>
        </w:rPr>
        <w:t xml:space="preserve">Strengthens State and local </w:t>
      </w:r>
      <w:r w:rsidR="002D5942">
        <w:rPr>
          <w:rFonts w:ascii="Arial" w:hAnsi="Arial" w:cs="Arial"/>
          <w:sz w:val="24"/>
          <w:szCs w:val="24"/>
        </w:rPr>
        <w:t>credit rating</w:t>
      </w:r>
      <w:r>
        <w:rPr>
          <w:rFonts w:ascii="Arial" w:hAnsi="Arial" w:cs="Arial"/>
          <w:sz w:val="24"/>
          <w:szCs w:val="24"/>
        </w:rPr>
        <w:t>s</w:t>
      </w:r>
      <w:r w:rsidR="002D5942">
        <w:rPr>
          <w:rFonts w:ascii="Arial" w:hAnsi="Arial" w:cs="Arial"/>
          <w:sz w:val="24"/>
          <w:szCs w:val="24"/>
        </w:rPr>
        <w:t xml:space="preserve"> by reducing unfunded liability and demonstrating a responsible and realistic plan for resolving the unfunded liability over a reasonable period of time.</w:t>
      </w:r>
    </w:p>
    <w:p w:rsidR="002D5942" w:rsidRDefault="00D74A87" w:rsidP="00287A94">
      <w:pPr>
        <w:pStyle w:val="NoSpacing"/>
        <w:numPr>
          <w:ilvl w:val="0"/>
          <w:numId w:val="2"/>
        </w:numPr>
        <w:jc w:val="both"/>
        <w:rPr>
          <w:rFonts w:ascii="Arial" w:hAnsi="Arial" w:cs="Arial"/>
          <w:sz w:val="24"/>
          <w:szCs w:val="24"/>
        </w:rPr>
      </w:pPr>
      <w:r>
        <w:rPr>
          <w:rFonts w:ascii="Arial" w:hAnsi="Arial" w:cs="Arial"/>
          <w:sz w:val="24"/>
          <w:szCs w:val="24"/>
        </w:rPr>
        <w:t>Due to the large capital contribution of $3 billion into the trust, the State of Alaska will not need to make the annual required contribution of $600 million from the Operating budget.  This enables funding capacity for other programs and projects.</w:t>
      </w:r>
    </w:p>
    <w:p w:rsidR="002D5942" w:rsidRDefault="002D5942" w:rsidP="00287A94">
      <w:pPr>
        <w:pStyle w:val="NoSpacing"/>
        <w:numPr>
          <w:ilvl w:val="0"/>
          <w:numId w:val="2"/>
        </w:numPr>
        <w:jc w:val="both"/>
        <w:rPr>
          <w:rFonts w:ascii="Arial" w:hAnsi="Arial" w:cs="Arial"/>
          <w:sz w:val="24"/>
          <w:szCs w:val="24"/>
        </w:rPr>
      </w:pPr>
      <w:r>
        <w:rPr>
          <w:rFonts w:ascii="Arial" w:hAnsi="Arial" w:cs="Arial"/>
          <w:sz w:val="24"/>
          <w:szCs w:val="24"/>
        </w:rPr>
        <w:t>Addresses this major financial problem now when reserves are available, rather than pushing to future generations of Alaskans who have fewer resources to tackle the problem.</w:t>
      </w:r>
    </w:p>
    <w:p w:rsidR="002D5942" w:rsidRDefault="002D5942" w:rsidP="00287A94">
      <w:pPr>
        <w:pStyle w:val="NoSpacing"/>
        <w:numPr>
          <w:ilvl w:val="0"/>
          <w:numId w:val="2"/>
        </w:numPr>
        <w:jc w:val="both"/>
        <w:rPr>
          <w:rFonts w:ascii="Arial" w:hAnsi="Arial" w:cs="Arial"/>
          <w:sz w:val="24"/>
          <w:szCs w:val="24"/>
        </w:rPr>
      </w:pPr>
      <w:r>
        <w:rPr>
          <w:rFonts w:ascii="Arial" w:hAnsi="Arial" w:cs="Arial"/>
          <w:sz w:val="24"/>
          <w:szCs w:val="24"/>
        </w:rPr>
        <w:t xml:space="preserve">If money is deposited into the Trust Funds rather than </w:t>
      </w:r>
      <w:r w:rsidR="00C32DAE">
        <w:rPr>
          <w:rFonts w:ascii="Arial" w:hAnsi="Arial" w:cs="Arial"/>
          <w:sz w:val="24"/>
          <w:szCs w:val="24"/>
        </w:rPr>
        <w:t xml:space="preserve">a </w:t>
      </w:r>
      <w:r>
        <w:rPr>
          <w:rFonts w:ascii="Arial" w:hAnsi="Arial" w:cs="Arial"/>
          <w:sz w:val="24"/>
          <w:szCs w:val="24"/>
        </w:rPr>
        <w:t>Reserve</w:t>
      </w:r>
      <w:r w:rsidR="00C32DAE">
        <w:rPr>
          <w:rFonts w:ascii="Arial" w:hAnsi="Arial" w:cs="Arial"/>
          <w:sz w:val="24"/>
          <w:szCs w:val="24"/>
        </w:rPr>
        <w:t xml:space="preserve"> account</w:t>
      </w:r>
      <w:r>
        <w:rPr>
          <w:rFonts w:ascii="Arial" w:hAnsi="Arial" w:cs="Arial"/>
          <w:sz w:val="24"/>
          <w:szCs w:val="24"/>
        </w:rPr>
        <w:t>,</w:t>
      </w:r>
      <w:r w:rsidR="00C32DAE">
        <w:rPr>
          <w:rFonts w:ascii="Arial" w:hAnsi="Arial" w:cs="Arial"/>
          <w:sz w:val="24"/>
          <w:szCs w:val="24"/>
        </w:rPr>
        <w:t xml:space="preserve"> it helps reduce</w:t>
      </w:r>
      <w:r>
        <w:rPr>
          <w:rFonts w:ascii="Arial" w:hAnsi="Arial" w:cs="Arial"/>
          <w:sz w:val="24"/>
          <w:szCs w:val="24"/>
        </w:rPr>
        <w:t xml:space="preserve"> the total unfunded liability.</w:t>
      </w:r>
      <w:r w:rsidR="003E38F8">
        <w:rPr>
          <w:rFonts w:ascii="Arial" w:hAnsi="Arial" w:cs="Arial"/>
          <w:sz w:val="24"/>
          <w:szCs w:val="24"/>
        </w:rPr>
        <w:t xml:space="preserve">  Any</w:t>
      </w:r>
      <w:r w:rsidR="00DE720C">
        <w:rPr>
          <w:rFonts w:ascii="Arial" w:hAnsi="Arial" w:cs="Arial"/>
          <w:sz w:val="24"/>
          <w:szCs w:val="24"/>
        </w:rPr>
        <w:t xml:space="preserve"> money</w:t>
      </w:r>
      <w:r w:rsidR="003E38F8">
        <w:rPr>
          <w:rFonts w:ascii="Arial" w:hAnsi="Arial" w:cs="Arial"/>
          <w:sz w:val="24"/>
          <w:szCs w:val="24"/>
        </w:rPr>
        <w:t xml:space="preserve"> deposited</w:t>
      </w:r>
      <w:r w:rsidR="00DE720C">
        <w:rPr>
          <w:rFonts w:ascii="Arial" w:hAnsi="Arial" w:cs="Arial"/>
          <w:sz w:val="24"/>
          <w:szCs w:val="24"/>
        </w:rPr>
        <w:t xml:space="preserve"> into a Reserve acco</w:t>
      </w:r>
      <w:r w:rsidR="003E38F8">
        <w:rPr>
          <w:rFonts w:ascii="Arial" w:hAnsi="Arial" w:cs="Arial"/>
          <w:sz w:val="24"/>
          <w:szCs w:val="24"/>
        </w:rPr>
        <w:t xml:space="preserve">unt, can be re-appropriated </w:t>
      </w:r>
      <w:r w:rsidR="00DE720C">
        <w:rPr>
          <w:rFonts w:ascii="Arial" w:hAnsi="Arial" w:cs="Arial"/>
          <w:sz w:val="24"/>
          <w:szCs w:val="24"/>
        </w:rPr>
        <w:t>and will not provide credit to the State or local governments toward the unfunded liability.</w:t>
      </w:r>
    </w:p>
    <w:p w:rsidR="00EC5B6F" w:rsidRPr="00EC5B6F" w:rsidRDefault="00EC5B6F" w:rsidP="00EC5B6F">
      <w:pPr>
        <w:pStyle w:val="NoSpacing"/>
        <w:numPr>
          <w:ilvl w:val="0"/>
          <w:numId w:val="2"/>
        </w:numPr>
        <w:jc w:val="both"/>
        <w:rPr>
          <w:rFonts w:ascii="Arial" w:hAnsi="Arial" w:cs="Arial"/>
          <w:sz w:val="24"/>
          <w:szCs w:val="24"/>
        </w:rPr>
      </w:pPr>
      <w:r>
        <w:rPr>
          <w:rFonts w:ascii="Arial" w:hAnsi="Arial" w:cs="Arial"/>
          <w:sz w:val="24"/>
          <w:szCs w:val="24"/>
        </w:rPr>
        <w:t xml:space="preserve">Actuarial accounting practices do not credit the system for “reserve” fund deposits, so it will do little to improve the financial health of the retirement fund. </w:t>
      </w:r>
    </w:p>
    <w:p w:rsidR="00A77B0C" w:rsidRDefault="00A77B0C" w:rsidP="00287A94">
      <w:pPr>
        <w:pStyle w:val="NoSpacing"/>
        <w:numPr>
          <w:ilvl w:val="0"/>
          <w:numId w:val="2"/>
        </w:numPr>
        <w:jc w:val="both"/>
        <w:rPr>
          <w:rFonts w:ascii="Arial" w:hAnsi="Arial" w:cs="Arial"/>
          <w:sz w:val="24"/>
          <w:szCs w:val="24"/>
        </w:rPr>
      </w:pPr>
      <w:r>
        <w:rPr>
          <w:rFonts w:ascii="Arial" w:hAnsi="Arial" w:cs="Arial"/>
          <w:sz w:val="24"/>
          <w:szCs w:val="24"/>
        </w:rPr>
        <w:t xml:space="preserve">The Governor’s proposed $500 million cap necessarily extends the amortization of the unfunded liability </w:t>
      </w:r>
      <w:r w:rsidRPr="00C32DAE">
        <w:rPr>
          <w:rFonts w:ascii="Arial" w:hAnsi="Arial" w:cs="Arial"/>
          <w:b/>
          <w:sz w:val="24"/>
          <w:szCs w:val="24"/>
          <w:u w:val="single"/>
        </w:rPr>
        <w:t xml:space="preserve">resulting in local governments and school districts having to pay the 22% (PERS) and the 12.56% (TRS) employer contribution </w:t>
      </w:r>
      <w:r w:rsidRPr="00C32DAE">
        <w:rPr>
          <w:rFonts w:ascii="Arial" w:hAnsi="Arial" w:cs="Arial"/>
          <w:b/>
          <w:sz w:val="24"/>
          <w:szCs w:val="24"/>
          <w:u w:val="single"/>
        </w:rPr>
        <w:lastRenderedPageBreak/>
        <w:t xml:space="preserve">rate for five more years </w:t>
      </w:r>
      <w:r>
        <w:rPr>
          <w:rFonts w:ascii="Arial" w:hAnsi="Arial" w:cs="Arial"/>
          <w:sz w:val="24"/>
          <w:szCs w:val="24"/>
        </w:rPr>
        <w:t>than they otherwise would and significantly shifting costs from the state to its municipalities.</w:t>
      </w:r>
    </w:p>
    <w:p w:rsidR="00A77B0C" w:rsidRDefault="00A77B0C" w:rsidP="00287A94">
      <w:pPr>
        <w:pStyle w:val="NoSpacing"/>
        <w:numPr>
          <w:ilvl w:val="0"/>
          <w:numId w:val="2"/>
        </w:numPr>
        <w:jc w:val="both"/>
        <w:rPr>
          <w:rFonts w:ascii="Arial" w:hAnsi="Arial" w:cs="Arial"/>
          <w:sz w:val="24"/>
          <w:szCs w:val="24"/>
        </w:rPr>
      </w:pPr>
      <w:r>
        <w:rPr>
          <w:rFonts w:ascii="Arial" w:hAnsi="Arial" w:cs="Arial"/>
          <w:sz w:val="24"/>
          <w:szCs w:val="24"/>
        </w:rPr>
        <w:t>The proposal will require the municipalities to assume a greater financial portion of the unfunded liability by approximately $1.5 billion, by extending the amortization p</w:t>
      </w:r>
      <w:r w:rsidR="00C32DAE">
        <w:rPr>
          <w:rFonts w:ascii="Arial" w:hAnsi="Arial" w:cs="Arial"/>
          <w:sz w:val="24"/>
          <w:szCs w:val="24"/>
        </w:rPr>
        <w:t>ayoff from 2031 to 2036.</w:t>
      </w:r>
    </w:p>
    <w:p w:rsidR="00EC5B6F" w:rsidRDefault="00EC5B6F" w:rsidP="00EC5B6F">
      <w:pPr>
        <w:pStyle w:val="NoSpacing"/>
        <w:numPr>
          <w:ilvl w:val="0"/>
          <w:numId w:val="2"/>
        </w:numPr>
        <w:jc w:val="both"/>
        <w:rPr>
          <w:rFonts w:ascii="Arial" w:hAnsi="Arial" w:cs="Arial"/>
          <w:sz w:val="24"/>
          <w:szCs w:val="24"/>
        </w:rPr>
      </w:pPr>
      <w:r>
        <w:rPr>
          <w:rFonts w:ascii="Arial" w:hAnsi="Arial" w:cs="Arial"/>
          <w:sz w:val="24"/>
          <w:szCs w:val="24"/>
        </w:rPr>
        <w:t>New municipal requirements under GA</w:t>
      </w:r>
      <w:r w:rsidR="00C32DAE">
        <w:rPr>
          <w:rFonts w:ascii="Arial" w:hAnsi="Arial" w:cs="Arial"/>
          <w:sz w:val="24"/>
          <w:szCs w:val="24"/>
        </w:rPr>
        <w:t>SB 68 requires allocation of a portion of the</w:t>
      </w:r>
      <w:r>
        <w:rPr>
          <w:rFonts w:ascii="Arial" w:hAnsi="Arial" w:cs="Arial"/>
          <w:sz w:val="24"/>
          <w:szCs w:val="24"/>
        </w:rPr>
        <w:t xml:space="preserve"> unfunded liabi</w:t>
      </w:r>
      <w:r w:rsidR="00C32DAE">
        <w:rPr>
          <w:rFonts w:ascii="Arial" w:hAnsi="Arial" w:cs="Arial"/>
          <w:sz w:val="24"/>
          <w:szCs w:val="24"/>
        </w:rPr>
        <w:t>lity among municipalities</w:t>
      </w:r>
      <w:r>
        <w:rPr>
          <w:rFonts w:ascii="Arial" w:hAnsi="Arial" w:cs="Arial"/>
          <w:sz w:val="24"/>
          <w:szCs w:val="24"/>
        </w:rPr>
        <w:t xml:space="preserve">.  The cash infusion </w:t>
      </w:r>
      <w:r w:rsidR="006360AA">
        <w:rPr>
          <w:rFonts w:ascii="Arial" w:hAnsi="Arial" w:cs="Arial"/>
          <w:sz w:val="24"/>
          <w:szCs w:val="24"/>
        </w:rPr>
        <w:t>of $3 billion would</w:t>
      </w:r>
      <w:r>
        <w:rPr>
          <w:rFonts w:ascii="Arial" w:hAnsi="Arial" w:cs="Arial"/>
          <w:sz w:val="24"/>
          <w:szCs w:val="24"/>
        </w:rPr>
        <w:t xml:space="preserve"> </w:t>
      </w:r>
      <w:r w:rsidR="00C32DAE">
        <w:rPr>
          <w:rFonts w:ascii="Arial" w:hAnsi="Arial" w:cs="Arial"/>
          <w:sz w:val="24"/>
          <w:szCs w:val="24"/>
        </w:rPr>
        <w:t>be reflected on municipal</w:t>
      </w:r>
      <w:r>
        <w:rPr>
          <w:rFonts w:ascii="Arial" w:hAnsi="Arial" w:cs="Arial"/>
          <w:sz w:val="24"/>
          <w:szCs w:val="24"/>
        </w:rPr>
        <w:t xml:space="preserve"> balance sheet</w:t>
      </w:r>
      <w:r w:rsidR="00C32DAE">
        <w:rPr>
          <w:rFonts w:ascii="Arial" w:hAnsi="Arial" w:cs="Arial"/>
          <w:sz w:val="24"/>
          <w:szCs w:val="24"/>
        </w:rPr>
        <w:t>s</w:t>
      </w:r>
      <w:r>
        <w:rPr>
          <w:rFonts w:ascii="Arial" w:hAnsi="Arial" w:cs="Arial"/>
          <w:sz w:val="24"/>
          <w:szCs w:val="24"/>
        </w:rPr>
        <w:t xml:space="preserve"> as a reduction in unfunded liability, thereby strengthening the balance sheets of the State and loc</w:t>
      </w:r>
      <w:r w:rsidR="006360AA">
        <w:rPr>
          <w:rFonts w:ascii="Arial" w:hAnsi="Arial" w:cs="Arial"/>
          <w:sz w:val="24"/>
          <w:szCs w:val="24"/>
        </w:rPr>
        <w:t>al governments, whereas a deposit into a Reserve Fund would not reduce the pro-rata share of liabilities.</w:t>
      </w:r>
    </w:p>
    <w:p w:rsidR="00C32DAE" w:rsidRPr="00C32DAE" w:rsidRDefault="00C32DAE" w:rsidP="00C32DAE">
      <w:pPr>
        <w:pStyle w:val="NoSpacing"/>
        <w:numPr>
          <w:ilvl w:val="0"/>
          <w:numId w:val="2"/>
        </w:numPr>
        <w:jc w:val="both"/>
        <w:rPr>
          <w:rFonts w:ascii="Arial" w:hAnsi="Arial" w:cs="Arial"/>
          <w:sz w:val="24"/>
          <w:szCs w:val="24"/>
        </w:rPr>
      </w:pPr>
      <w:r>
        <w:rPr>
          <w:rFonts w:ascii="Arial" w:hAnsi="Arial" w:cs="Arial"/>
          <w:sz w:val="24"/>
          <w:szCs w:val="24"/>
        </w:rPr>
        <w:t>Under the Governor’s plan, municipalities will bear a larger share of financial responsibility for the unfunded liability.</w:t>
      </w:r>
    </w:p>
    <w:p w:rsidR="00383628" w:rsidRPr="001478EB" w:rsidRDefault="006360AA" w:rsidP="001478EB">
      <w:pPr>
        <w:pStyle w:val="NoSpacing"/>
        <w:numPr>
          <w:ilvl w:val="0"/>
          <w:numId w:val="2"/>
        </w:numPr>
        <w:jc w:val="both"/>
        <w:rPr>
          <w:rFonts w:ascii="Arial" w:hAnsi="Arial" w:cs="Arial"/>
          <w:b/>
          <w:sz w:val="24"/>
          <w:szCs w:val="24"/>
          <w:u w:val="single"/>
        </w:rPr>
      </w:pPr>
      <w:r w:rsidRPr="00C32DAE">
        <w:rPr>
          <w:rFonts w:ascii="Arial" w:hAnsi="Arial" w:cs="Arial"/>
          <w:b/>
          <w:sz w:val="24"/>
          <w:szCs w:val="24"/>
          <w:u w:val="single"/>
        </w:rPr>
        <w:t>The additional cost to muni</w:t>
      </w:r>
      <w:r w:rsidR="001478EB">
        <w:rPr>
          <w:rFonts w:ascii="Arial" w:hAnsi="Arial" w:cs="Arial"/>
          <w:b/>
          <w:sz w:val="24"/>
          <w:szCs w:val="24"/>
          <w:u w:val="single"/>
        </w:rPr>
        <w:t>cipalities is approximately $1.33</w:t>
      </w:r>
      <w:r w:rsidRPr="00C32DAE">
        <w:rPr>
          <w:rFonts w:ascii="Arial" w:hAnsi="Arial" w:cs="Arial"/>
          <w:b/>
          <w:sz w:val="24"/>
          <w:szCs w:val="24"/>
          <w:u w:val="single"/>
        </w:rPr>
        <w:t xml:space="preserve"> billion over that five-year period</w:t>
      </w:r>
      <w:r w:rsidR="00C03794">
        <w:rPr>
          <w:rFonts w:ascii="Arial" w:hAnsi="Arial" w:cs="Arial"/>
          <w:b/>
          <w:sz w:val="24"/>
          <w:szCs w:val="24"/>
          <w:u w:val="single"/>
        </w:rPr>
        <w:t>.</w:t>
      </w:r>
      <w:r w:rsidR="001478EB">
        <w:rPr>
          <w:rFonts w:ascii="Arial" w:hAnsi="Arial" w:cs="Arial"/>
          <w:b/>
          <w:sz w:val="24"/>
          <w:szCs w:val="24"/>
          <w:u w:val="single"/>
        </w:rPr>
        <w:t xml:space="preserve"> </w:t>
      </w:r>
    </w:p>
    <w:p w:rsidR="006A288C" w:rsidRDefault="006A288C" w:rsidP="006A288C">
      <w:pPr>
        <w:pStyle w:val="NoSpacing"/>
        <w:jc w:val="both"/>
        <w:rPr>
          <w:rFonts w:ascii="Arial" w:hAnsi="Arial" w:cs="Arial"/>
          <w:b/>
          <w:sz w:val="24"/>
          <w:szCs w:val="24"/>
          <w:u w:val="single"/>
        </w:rPr>
      </w:pPr>
    </w:p>
    <w:p w:rsidR="006A288C" w:rsidRDefault="006A288C" w:rsidP="006A288C">
      <w:pPr>
        <w:pStyle w:val="NoSpacing"/>
        <w:jc w:val="both"/>
        <w:rPr>
          <w:rFonts w:ascii="Arial" w:hAnsi="Arial" w:cs="Arial"/>
          <w:b/>
          <w:sz w:val="24"/>
          <w:szCs w:val="24"/>
          <w:u w:val="single"/>
        </w:rPr>
      </w:pPr>
    </w:p>
    <w:p w:rsidR="006A288C" w:rsidRDefault="006A288C" w:rsidP="006A288C">
      <w:pPr>
        <w:pStyle w:val="NoSpacing"/>
        <w:jc w:val="both"/>
        <w:rPr>
          <w:rFonts w:ascii="Arial" w:hAnsi="Arial" w:cs="Arial"/>
          <w:b/>
          <w:sz w:val="24"/>
          <w:szCs w:val="24"/>
          <w:u w:val="single"/>
        </w:rPr>
      </w:pPr>
    </w:p>
    <w:p w:rsidR="006A288C" w:rsidRDefault="006A288C" w:rsidP="006A288C">
      <w:pPr>
        <w:pStyle w:val="NoSpacing"/>
        <w:jc w:val="center"/>
        <w:rPr>
          <w:rFonts w:ascii="Arial" w:hAnsi="Arial" w:cs="Arial"/>
          <w:b/>
          <w:sz w:val="24"/>
          <w:szCs w:val="24"/>
          <w:u w:val="single"/>
        </w:rPr>
      </w:pPr>
    </w:p>
    <w:p w:rsidR="006A288C" w:rsidRPr="006A288C" w:rsidRDefault="006A288C" w:rsidP="006A288C">
      <w:pPr>
        <w:pStyle w:val="NoSpacing"/>
        <w:jc w:val="center"/>
        <w:rPr>
          <w:rFonts w:ascii="Arial" w:hAnsi="Arial" w:cs="Arial"/>
          <w:b/>
          <w:sz w:val="24"/>
          <w:szCs w:val="24"/>
        </w:rPr>
      </w:pPr>
      <w:r>
        <w:rPr>
          <w:rFonts w:ascii="Arial" w:hAnsi="Arial" w:cs="Arial"/>
          <w:b/>
          <w:sz w:val="24"/>
          <w:szCs w:val="24"/>
        </w:rPr>
        <w:t>TERMINATION COSTS</w:t>
      </w:r>
    </w:p>
    <w:p w:rsidR="006A288C" w:rsidRDefault="006A288C" w:rsidP="006A288C">
      <w:pPr>
        <w:pStyle w:val="NoSpacing"/>
        <w:jc w:val="both"/>
        <w:rPr>
          <w:rFonts w:ascii="Arial" w:hAnsi="Arial" w:cs="Arial"/>
          <w:b/>
          <w:sz w:val="24"/>
          <w:szCs w:val="24"/>
          <w:u w:val="single"/>
        </w:rPr>
      </w:pPr>
    </w:p>
    <w:p w:rsidR="006A288C" w:rsidRDefault="006A288C" w:rsidP="006A288C">
      <w:pPr>
        <w:pStyle w:val="NoSpacing"/>
        <w:numPr>
          <w:ilvl w:val="0"/>
          <w:numId w:val="2"/>
        </w:numPr>
        <w:jc w:val="both"/>
        <w:rPr>
          <w:rFonts w:ascii="Arial" w:hAnsi="Arial" w:cs="Arial"/>
          <w:sz w:val="24"/>
          <w:szCs w:val="24"/>
        </w:rPr>
      </w:pPr>
      <w:r>
        <w:rPr>
          <w:rFonts w:ascii="Arial" w:hAnsi="Arial" w:cs="Arial"/>
          <w:sz w:val="24"/>
          <w:szCs w:val="24"/>
        </w:rPr>
        <w:t>AML strongly supports an elimination of the requirement to pay termination costs and termination study costs for terminated employees that participated in the defined benefit retirement program.</w:t>
      </w:r>
    </w:p>
    <w:p w:rsidR="006A288C" w:rsidRDefault="006A288C" w:rsidP="006A288C">
      <w:pPr>
        <w:pStyle w:val="NoSpacing"/>
        <w:numPr>
          <w:ilvl w:val="0"/>
          <w:numId w:val="2"/>
        </w:numPr>
        <w:jc w:val="both"/>
        <w:rPr>
          <w:rFonts w:ascii="Arial" w:hAnsi="Arial" w:cs="Arial"/>
          <w:sz w:val="24"/>
          <w:szCs w:val="24"/>
        </w:rPr>
      </w:pPr>
      <w:r>
        <w:rPr>
          <w:rFonts w:ascii="Arial" w:hAnsi="Arial" w:cs="Arial"/>
          <w:sz w:val="24"/>
          <w:szCs w:val="24"/>
        </w:rPr>
        <w:t>AML supports HB 152 which repeals termination studies and costs.  Termination costs can be a significant cost to municipalities, yet are insignificant relative to a $12 billion unfunded liability.</w:t>
      </w:r>
    </w:p>
    <w:p w:rsidR="006A288C" w:rsidRDefault="006A288C" w:rsidP="006A288C">
      <w:pPr>
        <w:pStyle w:val="NoSpacing"/>
        <w:numPr>
          <w:ilvl w:val="0"/>
          <w:numId w:val="2"/>
        </w:numPr>
        <w:jc w:val="both"/>
        <w:rPr>
          <w:rFonts w:ascii="Arial" w:hAnsi="Arial" w:cs="Arial"/>
          <w:sz w:val="24"/>
          <w:szCs w:val="24"/>
        </w:rPr>
      </w:pPr>
      <w:r>
        <w:rPr>
          <w:rFonts w:ascii="Arial" w:hAnsi="Arial" w:cs="Arial"/>
          <w:sz w:val="24"/>
          <w:szCs w:val="24"/>
        </w:rPr>
        <w:t>In light of tight state funding into the future, it is critical that municipalitie</w:t>
      </w:r>
      <w:r w:rsidR="005E7EF8">
        <w:rPr>
          <w:rFonts w:ascii="Arial" w:hAnsi="Arial" w:cs="Arial"/>
          <w:sz w:val="24"/>
          <w:szCs w:val="24"/>
        </w:rPr>
        <w:t>s have flexibility to manage</w:t>
      </w:r>
      <w:r>
        <w:rPr>
          <w:rFonts w:ascii="Arial" w:hAnsi="Arial" w:cs="Arial"/>
          <w:sz w:val="24"/>
          <w:szCs w:val="24"/>
        </w:rPr>
        <w:t xml:space="preserve"> staff and programs without fear of the negative financial impact of termination costs.</w:t>
      </w:r>
    </w:p>
    <w:p w:rsidR="00662E5D" w:rsidRDefault="00662E5D" w:rsidP="006A288C">
      <w:pPr>
        <w:pStyle w:val="NoSpacing"/>
        <w:numPr>
          <w:ilvl w:val="0"/>
          <w:numId w:val="2"/>
        </w:numPr>
        <w:jc w:val="both"/>
        <w:rPr>
          <w:rFonts w:ascii="Arial" w:hAnsi="Arial" w:cs="Arial"/>
          <w:sz w:val="24"/>
          <w:szCs w:val="24"/>
        </w:rPr>
      </w:pPr>
      <w:r>
        <w:rPr>
          <w:rFonts w:ascii="Arial" w:hAnsi="Arial" w:cs="Arial"/>
          <w:sz w:val="24"/>
          <w:szCs w:val="24"/>
        </w:rPr>
        <w:t xml:space="preserve">This bill eliminates the requirement for municipalities to pay termination costs and termination study costs for certain employees.  This bill also aims to address the future financial stability of municipal PERS employers.  </w:t>
      </w:r>
    </w:p>
    <w:p w:rsidR="00662E5D" w:rsidRDefault="00662E5D" w:rsidP="006A288C">
      <w:pPr>
        <w:pStyle w:val="NoSpacing"/>
        <w:numPr>
          <w:ilvl w:val="0"/>
          <w:numId w:val="2"/>
        </w:numPr>
        <w:jc w:val="both"/>
        <w:rPr>
          <w:rFonts w:ascii="Arial" w:hAnsi="Arial" w:cs="Arial"/>
          <w:sz w:val="24"/>
          <w:szCs w:val="24"/>
        </w:rPr>
      </w:pPr>
      <w:r>
        <w:rPr>
          <w:rFonts w:ascii="Arial" w:hAnsi="Arial" w:cs="Arial"/>
          <w:sz w:val="24"/>
          <w:szCs w:val="24"/>
        </w:rPr>
        <w:t>The current termination studies law is making it difficult for employers to manage the delivery of services, discriminates against small municipalities, even though their impact on the system is minimal, and is nearly impossible to implement in an equitable manner.  It also fails to recognize that organizational and personnel structure differ between municipalities.</w:t>
      </w:r>
    </w:p>
    <w:p w:rsidR="00662E5D" w:rsidRDefault="00662E5D" w:rsidP="006A288C">
      <w:pPr>
        <w:pStyle w:val="NoSpacing"/>
        <w:numPr>
          <w:ilvl w:val="0"/>
          <w:numId w:val="2"/>
        </w:numPr>
        <w:jc w:val="both"/>
        <w:rPr>
          <w:rFonts w:ascii="Arial" w:hAnsi="Arial" w:cs="Arial"/>
          <w:sz w:val="24"/>
          <w:szCs w:val="24"/>
        </w:rPr>
      </w:pPr>
      <w:r>
        <w:rPr>
          <w:rFonts w:ascii="Arial" w:hAnsi="Arial" w:cs="Arial"/>
          <w:sz w:val="24"/>
          <w:szCs w:val="24"/>
        </w:rPr>
        <w:t>System-wide salaries have increased by $325 million or 18.6% over the salary base “floor” established in 2008.  As a result, contributions toward the unfunded liability have not been compromised; rather, they have increased at a rate greater than the actuarial-assumed growth rate of 4%.</w:t>
      </w:r>
      <w:bookmarkStart w:id="0" w:name="_GoBack"/>
      <w:bookmarkEnd w:id="0"/>
    </w:p>
    <w:p w:rsidR="006A288C" w:rsidRDefault="006A288C" w:rsidP="006A288C">
      <w:pPr>
        <w:pStyle w:val="NoSpacing"/>
        <w:jc w:val="both"/>
        <w:rPr>
          <w:rFonts w:ascii="Arial" w:hAnsi="Arial" w:cs="Arial"/>
          <w:b/>
          <w:sz w:val="24"/>
          <w:szCs w:val="24"/>
          <w:u w:val="single"/>
        </w:rPr>
      </w:pPr>
    </w:p>
    <w:p w:rsidR="00AC7863" w:rsidRDefault="00AC7863" w:rsidP="006A288C">
      <w:pPr>
        <w:pStyle w:val="NoSpacing"/>
        <w:jc w:val="both"/>
        <w:rPr>
          <w:rFonts w:ascii="Arial" w:hAnsi="Arial" w:cs="Arial"/>
          <w:b/>
          <w:sz w:val="24"/>
          <w:szCs w:val="24"/>
          <w:u w:val="single"/>
        </w:rPr>
      </w:pPr>
    </w:p>
    <w:p w:rsidR="00AC7863" w:rsidRDefault="00AC7863" w:rsidP="006A288C">
      <w:pPr>
        <w:pStyle w:val="NoSpacing"/>
        <w:jc w:val="both"/>
        <w:rPr>
          <w:rFonts w:ascii="Arial" w:hAnsi="Arial" w:cs="Arial"/>
          <w:b/>
          <w:sz w:val="24"/>
          <w:szCs w:val="24"/>
          <w:u w:val="single"/>
        </w:rPr>
      </w:pPr>
    </w:p>
    <w:p w:rsidR="00AC7863" w:rsidRDefault="00AC7863" w:rsidP="006A288C">
      <w:pPr>
        <w:pStyle w:val="NoSpacing"/>
        <w:jc w:val="both"/>
        <w:rPr>
          <w:rFonts w:ascii="Arial" w:hAnsi="Arial" w:cs="Arial"/>
          <w:b/>
          <w:sz w:val="24"/>
          <w:szCs w:val="24"/>
          <w:u w:val="single"/>
        </w:rPr>
      </w:pPr>
    </w:p>
    <w:p w:rsidR="00AC7863" w:rsidRDefault="00AC7863" w:rsidP="006A288C">
      <w:pPr>
        <w:pStyle w:val="NoSpacing"/>
        <w:jc w:val="both"/>
        <w:rPr>
          <w:rFonts w:ascii="Arial" w:hAnsi="Arial" w:cs="Arial"/>
          <w:b/>
          <w:sz w:val="24"/>
          <w:szCs w:val="24"/>
          <w:u w:val="single"/>
        </w:rPr>
      </w:pPr>
    </w:p>
    <w:p w:rsidR="00AC7863" w:rsidRDefault="00AC7863" w:rsidP="006A288C">
      <w:pPr>
        <w:pStyle w:val="NoSpacing"/>
        <w:jc w:val="both"/>
        <w:rPr>
          <w:rFonts w:ascii="Arial" w:hAnsi="Arial" w:cs="Arial"/>
          <w:b/>
          <w:sz w:val="24"/>
          <w:szCs w:val="24"/>
          <w:u w:val="single"/>
        </w:rPr>
      </w:pPr>
    </w:p>
    <w:p w:rsidR="00AC7863" w:rsidRDefault="00AC7863" w:rsidP="006A288C">
      <w:pPr>
        <w:pStyle w:val="NoSpacing"/>
        <w:jc w:val="both"/>
        <w:rPr>
          <w:rFonts w:ascii="Arial" w:hAnsi="Arial" w:cs="Arial"/>
          <w:b/>
          <w:sz w:val="24"/>
          <w:szCs w:val="24"/>
          <w:u w:val="single"/>
        </w:rPr>
      </w:pPr>
    </w:p>
    <w:p w:rsidR="00AC7863" w:rsidRDefault="00AC7863" w:rsidP="006A288C">
      <w:pPr>
        <w:pStyle w:val="NoSpacing"/>
        <w:jc w:val="both"/>
        <w:rPr>
          <w:rFonts w:ascii="Arial" w:hAnsi="Arial" w:cs="Arial"/>
          <w:b/>
          <w:sz w:val="24"/>
          <w:szCs w:val="24"/>
          <w:u w:val="single"/>
        </w:rPr>
      </w:pPr>
    </w:p>
    <w:p w:rsidR="00AC7863" w:rsidRDefault="00AC7863" w:rsidP="006A288C">
      <w:pPr>
        <w:pStyle w:val="NoSpacing"/>
        <w:jc w:val="both"/>
        <w:rPr>
          <w:rFonts w:ascii="Arial" w:hAnsi="Arial" w:cs="Arial"/>
          <w:b/>
          <w:sz w:val="24"/>
          <w:szCs w:val="24"/>
          <w:u w:val="single"/>
        </w:rPr>
      </w:pPr>
    </w:p>
    <w:p w:rsidR="00AC7863" w:rsidRDefault="00AC7863" w:rsidP="006A288C">
      <w:pPr>
        <w:pStyle w:val="NoSpacing"/>
        <w:jc w:val="both"/>
        <w:rPr>
          <w:rFonts w:ascii="Arial" w:hAnsi="Arial" w:cs="Arial"/>
          <w:b/>
          <w:sz w:val="24"/>
          <w:szCs w:val="24"/>
          <w:u w:val="single"/>
        </w:rPr>
      </w:pPr>
    </w:p>
    <w:p w:rsidR="00AC7863" w:rsidRDefault="00AC7863" w:rsidP="006A288C">
      <w:pPr>
        <w:pStyle w:val="NoSpacing"/>
        <w:jc w:val="both"/>
        <w:rPr>
          <w:rFonts w:ascii="Arial" w:hAnsi="Arial" w:cs="Arial"/>
          <w:b/>
          <w:sz w:val="24"/>
          <w:szCs w:val="24"/>
          <w:u w:val="single"/>
        </w:rPr>
      </w:pPr>
    </w:p>
    <w:p w:rsidR="00AC7863" w:rsidRPr="00AC7863" w:rsidRDefault="001478EB" w:rsidP="00AC7863">
      <w:pPr>
        <w:pStyle w:val="NoSpacing"/>
        <w:jc w:val="right"/>
        <w:rPr>
          <w:rFonts w:ascii="Arial" w:hAnsi="Arial" w:cs="Arial"/>
          <w:sz w:val="16"/>
          <w:szCs w:val="16"/>
        </w:rPr>
      </w:pPr>
      <w:r>
        <w:rPr>
          <w:rFonts w:ascii="Arial" w:hAnsi="Arial" w:cs="Arial"/>
          <w:sz w:val="16"/>
          <w:szCs w:val="16"/>
        </w:rPr>
        <w:t>02/14</w:t>
      </w:r>
      <w:r w:rsidR="00AC7863">
        <w:rPr>
          <w:rFonts w:ascii="Arial" w:hAnsi="Arial" w:cs="Arial"/>
          <w:sz w:val="16"/>
          <w:szCs w:val="16"/>
        </w:rPr>
        <w:t>/14</w:t>
      </w:r>
    </w:p>
    <w:sectPr w:rsidR="00AC7863" w:rsidRPr="00AC786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B3" w:rsidRDefault="00FD59B3" w:rsidP="00FD59B3">
      <w:pPr>
        <w:spacing w:after="0" w:line="240" w:lineRule="auto"/>
      </w:pPr>
      <w:r>
        <w:separator/>
      </w:r>
    </w:p>
  </w:endnote>
  <w:endnote w:type="continuationSeparator" w:id="0">
    <w:p w:rsidR="00FD59B3" w:rsidRDefault="00FD59B3" w:rsidP="00FD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9B3" w:rsidRDefault="00FD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78516"/>
      <w:docPartObj>
        <w:docPartGallery w:val="Page Numbers (Bottom of Page)"/>
        <w:docPartUnique/>
      </w:docPartObj>
    </w:sdtPr>
    <w:sdtEndPr>
      <w:rPr>
        <w:noProof/>
      </w:rPr>
    </w:sdtEndPr>
    <w:sdtContent>
      <w:p w:rsidR="00FD59B3" w:rsidRDefault="00FD59B3">
        <w:pPr>
          <w:pStyle w:val="Footer"/>
          <w:jc w:val="center"/>
        </w:pPr>
        <w:r>
          <w:fldChar w:fldCharType="begin"/>
        </w:r>
        <w:r>
          <w:instrText xml:space="preserve"> PAGE   \* MERGEFORMAT </w:instrText>
        </w:r>
        <w:r>
          <w:fldChar w:fldCharType="separate"/>
        </w:r>
        <w:r w:rsidR="00662E5D">
          <w:rPr>
            <w:noProof/>
          </w:rPr>
          <w:t>3</w:t>
        </w:r>
        <w:r>
          <w:rPr>
            <w:noProof/>
          </w:rPr>
          <w:fldChar w:fldCharType="end"/>
        </w:r>
      </w:p>
    </w:sdtContent>
  </w:sdt>
  <w:p w:rsidR="00FD59B3" w:rsidRDefault="00FD5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9B3" w:rsidRDefault="00FD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B3" w:rsidRDefault="00FD59B3" w:rsidP="00FD59B3">
      <w:pPr>
        <w:spacing w:after="0" w:line="240" w:lineRule="auto"/>
      </w:pPr>
      <w:r>
        <w:separator/>
      </w:r>
    </w:p>
  </w:footnote>
  <w:footnote w:type="continuationSeparator" w:id="0">
    <w:p w:rsidR="00FD59B3" w:rsidRDefault="00FD59B3" w:rsidP="00FD5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9B3" w:rsidRDefault="00FD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9B3" w:rsidRDefault="00FD5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9B3" w:rsidRDefault="00FD5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C223B"/>
    <w:multiLevelType w:val="hybridMultilevel"/>
    <w:tmpl w:val="541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F05F7"/>
    <w:multiLevelType w:val="hybridMultilevel"/>
    <w:tmpl w:val="20AA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AF7726"/>
    <w:multiLevelType w:val="hybridMultilevel"/>
    <w:tmpl w:val="2D7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6F6C"/>
    <w:rsid w:val="001478EB"/>
    <w:rsid w:val="00261C19"/>
    <w:rsid w:val="00287A94"/>
    <w:rsid w:val="002A32B4"/>
    <w:rsid w:val="002D5942"/>
    <w:rsid w:val="00335295"/>
    <w:rsid w:val="00383628"/>
    <w:rsid w:val="003E38F8"/>
    <w:rsid w:val="003F3576"/>
    <w:rsid w:val="00423475"/>
    <w:rsid w:val="005E7EF8"/>
    <w:rsid w:val="00631C1C"/>
    <w:rsid w:val="006360AA"/>
    <w:rsid w:val="00662E5D"/>
    <w:rsid w:val="006A288C"/>
    <w:rsid w:val="006B5FDC"/>
    <w:rsid w:val="007D1D5B"/>
    <w:rsid w:val="00811438"/>
    <w:rsid w:val="00872675"/>
    <w:rsid w:val="008F6D0D"/>
    <w:rsid w:val="0094282A"/>
    <w:rsid w:val="009C65CC"/>
    <w:rsid w:val="00A11860"/>
    <w:rsid w:val="00A77B0C"/>
    <w:rsid w:val="00AC7863"/>
    <w:rsid w:val="00BC6F6C"/>
    <w:rsid w:val="00C03794"/>
    <w:rsid w:val="00C32DAE"/>
    <w:rsid w:val="00C53BE1"/>
    <w:rsid w:val="00D74A87"/>
    <w:rsid w:val="00DE720C"/>
    <w:rsid w:val="00DF7C5F"/>
    <w:rsid w:val="00EC5B6F"/>
    <w:rsid w:val="00F87572"/>
    <w:rsid w:val="00FD59B3"/>
    <w:rsid w:val="00FE1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35EE6-48DE-4307-AB5A-2872CB39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F6C"/>
    <w:pPr>
      <w:spacing w:after="0" w:line="240" w:lineRule="auto"/>
    </w:pPr>
  </w:style>
  <w:style w:type="paragraph" w:styleId="ListParagraph">
    <w:name w:val="List Paragraph"/>
    <w:basedOn w:val="Normal"/>
    <w:uiPriority w:val="34"/>
    <w:qFormat/>
    <w:rsid w:val="00BC6F6C"/>
    <w:pPr>
      <w:ind w:left="720"/>
      <w:contextualSpacing/>
    </w:pPr>
  </w:style>
  <w:style w:type="paragraph" w:styleId="BalloonText">
    <w:name w:val="Balloon Text"/>
    <w:basedOn w:val="Normal"/>
    <w:link w:val="BalloonTextChar"/>
    <w:uiPriority w:val="99"/>
    <w:semiHidden/>
    <w:unhideWhenUsed/>
    <w:rsid w:val="00A11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860"/>
    <w:rPr>
      <w:rFonts w:ascii="Segoe UI" w:hAnsi="Segoe UI" w:cs="Segoe UI"/>
      <w:sz w:val="18"/>
      <w:szCs w:val="18"/>
    </w:rPr>
  </w:style>
  <w:style w:type="paragraph" w:styleId="Header">
    <w:name w:val="header"/>
    <w:basedOn w:val="Normal"/>
    <w:link w:val="HeaderChar"/>
    <w:uiPriority w:val="99"/>
    <w:unhideWhenUsed/>
    <w:rsid w:val="00FD5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B3"/>
  </w:style>
  <w:style w:type="paragraph" w:styleId="Footer">
    <w:name w:val="footer"/>
    <w:basedOn w:val="Normal"/>
    <w:link w:val="FooterChar"/>
    <w:uiPriority w:val="99"/>
    <w:unhideWhenUsed/>
    <w:rsid w:val="00FD5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02F0F-5CF7-4D36-8ED6-073D76FA4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Wasserman</dc:creator>
  <cp:keywords/>
  <dc:description/>
  <cp:lastModifiedBy>Kathie Wasserman</cp:lastModifiedBy>
  <cp:revision>19</cp:revision>
  <cp:lastPrinted>2014-02-13T16:29:00Z</cp:lastPrinted>
  <dcterms:created xsi:type="dcterms:W3CDTF">2014-02-05T20:00:00Z</dcterms:created>
  <dcterms:modified xsi:type="dcterms:W3CDTF">2014-02-27T18:56:00Z</dcterms:modified>
</cp:coreProperties>
</file>